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EC609">
      <w:pPr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 w14:paraId="7F500CF3">
      <w:pPr>
        <w:pStyle w:val="4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  <w:lang w:eastAsia="zh-CN"/>
        </w:rPr>
        <w:t>保险服务方案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8"/>
        <w:gridCol w:w="1507"/>
        <w:gridCol w:w="1376"/>
        <w:gridCol w:w="1371"/>
      </w:tblGrid>
      <w:tr w14:paraId="1FBB2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D0DC3A2">
            <w:pPr>
              <w:adjustRightInd w:val="0"/>
              <w:snapToGrid w:val="0"/>
              <w:jc w:val="center"/>
              <w:rPr>
                <w:rFonts w:hint="eastAsia" w:ascii="宋体" w:hAnsi="宋体" w:eastAsia="宋体" w:cs="仿宋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color w:val="000000"/>
                <w:sz w:val="28"/>
                <w:szCs w:val="28"/>
              </w:rPr>
              <w:t>保障项目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16F358">
            <w:pPr>
              <w:adjustRightInd w:val="0"/>
              <w:snapToGrid w:val="0"/>
              <w:jc w:val="center"/>
              <w:rPr>
                <w:rFonts w:hint="eastAsia" w:ascii="宋体" w:hAnsi="宋体" w:eastAsia="宋体" w:cs="仿宋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color w:val="000000"/>
                <w:sz w:val="28"/>
                <w:szCs w:val="28"/>
              </w:rPr>
              <w:t>方案一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825A7A">
            <w:pPr>
              <w:adjustRightInd w:val="0"/>
              <w:snapToGrid w:val="0"/>
              <w:jc w:val="center"/>
              <w:rPr>
                <w:rFonts w:hint="eastAsia" w:ascii="宋体" w:hAnsi="宋体" w:eastAsia="宋体" w:cs="仿宋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color w:val="000000"/>
                <w:sz w:val="28"/>
                <w:szCs w:val="28"/>
              </w:rPr>
              <w:t>方案二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D5B631">
            <w:pPr>
              <w:adjustRightInd w:val="0"/>
              <w:snapToGrid w:val="0"/>
              <w:jc w:val="center"/>
              <w:rPr>
                <w:rFonts w:hint="eastAsia" w:ascii="宋体" w:hAnsi="宋体" w:eastAsia="宋体" w:cs="仿宋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color w:val="000000"/>
                <w:sz w:val="28"/>
                <w:szCs w:val="28"/>
              </w:rPr>
              <w:t>方案三</w:t>
            </w:r>
          </w:p>
        </w:tc>
      </w:tr>
      <w:tr w14:paraId="37F9B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AEBF1CC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意外身故伤残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A8174B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20万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927F92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30万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34F077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50万</w:t>
            </w:r>
          </w:p>
        </w:tc>
      </w:tr>
      <w:tr w14:paraId="0AFA7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13B746C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猝死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EE0B47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20万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339DE7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30万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3D7692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50万</w:t>
            </w:r>
          </w:p>
        </w:tc>
      </w:tr>
      <w:tr w14:paraId="70F66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5839E11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飞机意外身故伤残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53CACE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20万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982D2E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50万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0A3094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50万</w:t>
            </w:r>
          </w:p>
        </w:tc>
      </w:tr>
      <w:tr w14:paraId="3391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7354B10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大巴意外身故伤残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8D7D28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10万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0720ED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10万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870330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10万</w:t>
            </w:r>
          </w:p>
        </w:tc>
      </w:tr>
      <w:tr w14:paraId="4716A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F9D12A8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火车意外身故伤残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E1AAFC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10万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694FA7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30万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2185CB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50万</w:t>
            </w:r>
          </w:p>
        </w:tc>
      </w:tr>
      <w:tr w14:paraId="63A8B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BC0A5F4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轮船意外身故伤残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AB5809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10万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5D154F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30万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07287B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50万</w:t>
            </w:r>
          </w:p>
        </w:tc>
      </w:tr>
      <w:tr w14:paraId="7910C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A01C824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意外伤害医疗（赔付比例100%）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67F42F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2万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0F6027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3万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E89108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5万</w:t>
            </w:r>
          </w:p>
        </w:tc>
      </w:tr>
      <w:tr w14:paraId="202CE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42549DE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意外伤害住院津贴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8F9300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100元/天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076089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200元/天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0F3339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300元/天</w:t>
            </w:r>
          </w:p>
        </w:tc>
      </w:tr>
      <w:tr w14:paraId="0F1B1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5D3D159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救护车费用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133CB7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1000元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0D1C36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1000元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001464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1000元</w:t>
            </w:r>
          </w:p>
        </w:tc>
      </w:tr>
      <w:tr w14:paraId="3DBF2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CAE01F8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突发疾病险医疗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8E4E59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3000元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60A292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5000元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4986A5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10000元</w:t>
            </w:r>
          </w:p>
        </w:tc>
      </w:tr>
      <w:tr w14:paraId="0D77C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920F74E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附加扩展高风险活动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BC6578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20万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8D8948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30万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D85D15">
            <w:pPr>
              <w:adjustRightInd w:val="0"/>
              <w:snapToGrid w:val="0"/>
              <w:rPr>
                <w:rFonts w:hint="eastAsia" w:ascii="宋体" w:hAnsi="宋体" w:eastAsia="宋体" w:cs="仿宋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50万</w:t>
            </w:r>
          </w:p>
        </w:tc>
      </w:tr>
      <w:tr w14:paraId="72DC2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6C87B79">
            <w:pPr>
              <w:adjustRightInd w:val="0"/>
              <w:snapToGrid w:val="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保险费（保险期限1-5天）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35B058">
            <w:pPr>
              <w:adjustRightInd w:val="0"/>
              <w:snapToGrid w:val="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10元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BADC35">
            <w:pPr>
              <w:adjustRightInd w:val="0"/>
              <w:snapToGrid w:val="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20元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9EDEF5">
            <w:pPr>
              <w:adjustRightInd w:val="0"/>
              <w:snapToGrid w:val="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35元</w:t>
            </w:r>
          </w:p>
        </w:tc>
      </w:tr>
      <w:tr w14:paraId="126C8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1DB148E">
            <w:pPr>
              <w:adjustRightInd w:val="0"/>
              <w:snapToGrid w:val="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保险费（保险期限1年）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B03B04">
            <w:pPr>
              <w:adjustRightInd w:val="0"/>
              <w:snapToGrid w:val="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500元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D4E179">
            <w:pPr>
              <w:adjustRightInd w:val="0"/>
              <w:snapToGrid w:val="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800元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DAA158">
            <w:pPr>
              <w:adjustRightInd w:val="0"/>
              <w:snapToGrid w:val="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1000元</w:t>
            </w:r>
          </w:p>
        </w:tc>
      </w:tr>
      <w:tr w14:paraId="66A8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8859" w:type="dxa"/>
            <w:gridSpan w:val="4"/>
            <w:vAlign w:val="center"/>
          </w:tcPr>
          <w:p w14:paraId="681AC944">
            <w:pPr>
              <w:adjustRightInd w:val="0"/>
              <w:snapToGrid w:val="0"/>
              <w:rPr>
                <w:rFonts w:hint="eastAsia" w:ascii="宋体" w:hAnsi="宋体" w:eastAsia="宋体" w:cs="仿宋"/>
              </w:rPr>
            </w:pPr>
            <w:r>
              <w:rPr>
                <w:rFonts w:hint="eastAsia" w:ascii="宋体" w:hAnsi="宋体" w:eastAsia="宋体" w:cs="仿宋"/>
                <w:color w:val="000000"/>
              </w:rPr>
              <w:t>备注：</w:t>
            </w:r>
          </w:p>
        </w:tc>
      </w:tr>
      <w:tr w14:paraId="1D2F0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8859" w:type="dxa"/>
            <w:gridSpan w:val="4"/>
            <w:vAlign w:val="center"/>
          </w:tcPr>
          <w:p w14:paraId="5C17EEBF">
            <w:pPr>
              <w:adjustRightInd w:val="0"/>
              <w:snapToGrid w:val="0"/>
              <w:rPr>
                <w:rFonts w:hint="eastAsia" w:ascii="宋体" w:hAnsi="宋体" w:eastAsia="宋体" w:cs="仿宋"/>
              </w:rPr>
            </w:pPr>
            <w:r>
              <w:rPr>
                <w:rFonts w:hint="eastAsia" w:ascii="宋体" w:hAnsi="宋体" w:eastAsia="宋体" w:cs="仿宋"/>
                <w:color w:val="000000"/>
              </w:rPr>
              <w:t>1.提供活动期间24小时全天候保障，包括往返行程；</w:t>
            </w:r>
          </w:p>
        </w:tc>
      </w:tr>
      <w:tr w14:paraId="4ABDD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859" w:type="dxa"/>
            <w:gridSpan w:val="4"/>
            <w:vAlign w:val="center"/>
          </w:tcPr>
          <w:p w14:paraId="30F1E3D3">
            <w:pPr>
              <w:adjustRightInd w:val="0"/>
              <w:snapToGrid w:val="0"/>
              <w:rPr>
                <w:rFonts w:hint="eastAsia" w:ascii="宋体" w:hAnsi="宋体" w:eastAsia="宋体" w:cs="仿宋"/>
              </w:rPr>
            </w:pPr>
            <w:r>
              <w:rPr>
                <w:rFonts w:hint="eastAsia" w:ascii="宋体" w:hAnsi="宋体" w:eastAsia="宋体" w:cs="仿宋"/>
                <w:color w:val="000000"/>
              </w:rPr>
              <w:t>2.其中交通意外身故残疾保额为基本意外身故残疾保额之外的叠加</w:t>
            </w:r>
          </w:p>
        </w:tc>
      </w:tr>
    </w:tbl>
    <w:p w14:paraId="70DC2600">
      <w:pPr>
        <w:adjustRightInd w:val="0"/>
        <w:snapToGrid w:val="0"/>
        <w:spacing w:line="192" w:lineRule="auto"/>
        <w:jc w:val="center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微信扫一扫购买</w:t>
      </w:r>
    </w:p>
    <w:p w14:paraId="48AAAF7B">
      <w:pPr>
        <w:adjustRightInd w:val="0"/>
        <w:snapToGrid w:val="0"/>
        <w:spacing w:line="216" w:lineRule="auto"/>
        <w:jc w:val="center"/>
        <w:rPr>
          <w:rFonts w:ascii="Calibri" w:hAnsi="Calibri" w:eastAsia="宋体" w:cs="Times New Roman"/>
          <w:sz w:val="24"/>
        </w:rPr>
      </w:pPr>
      <w:r>
        <w:rPr>
          <w:rFonts w:ascii="Calibri" w:hAnsi="Calibri" w:eastAsia="宋体" w:cs="Times New Roman"/>
          <w:sz w:val="36"/>
          <w:szCs w:val="36"/>
        </w:rPr>
        <w:drawing>
          <wp:inline distT="0" distB="0" distL="0" distR="0">
            <wp:extent cx="1638300" cy="1638300"/>
            <wp:effectExtent l="0" t="0" r="0" b="0"/>
            <wp:docPr id="174209397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093977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AE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jc w:val="both"/>
        <w:textAlignment w:val="auto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承保保司：中国太平洋财产保险股份有限公司</w:t>
      </w:r>
    </w:p>
    <w:p w14:paraId="3E362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投保联系人：吴经理13771492775（微信TYB_wudanqing）</w:t>
      </w:r>
    </w:p>
    <w:p w14:paraId="3D85D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1680" w:firstLineChars="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吴经理17313192380（微信同号）</w:t>
      </w:r>
    </w:p>
    <w:p w14:paraId="52F0F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理赔服务人：刘经理18908189652（微信同号）</w:t>
      </w:r>
    </w:p>
    <w:p w14:paraId="011CB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理赔流程：一、拨打报案电话95500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4639E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1400" w:firstLineChars="5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二、一次性告知您所需要的具体理赔资料 （报案后保险公司会陆续安排工作人员联系报案人）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74C13F90">
      <w:r>
        <w:rPr>
          <w:rFonts w:hint="eastAsia" w:ascii="仿宋" w:hAnsi="仿宋" w:eastAsia="仿宋" w:cs="仿宋"/>
          <w:sz w:val="28"/>
          <w:szCs w:val="28"/>
        </w:rPr>
        <w:t xml:space="preserve">三、保险公司在接收到索赔材料齐全、符合保险责任险的理赔资料后10个工作日内结案并安排支付理赔款。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72890"/>
    <w:rsid w:val="32F7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2025-09-02T07:35:00Z</dcterms:created>
  <dc:creator> </dc:creator>
  <cp:lastModifiedBy> </cp:lastModifiedBy>
  <dcterms:modified xsi:type="dcterms:W3CDTF">2025-09-02T07:36:04Z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14EA6D37B4E144E589EE0FF2242FF180_11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