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3F3CC">
      <w:pP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 w14:paraId="5CB08DC3">
      <w:pPr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关于承办2025年老年体育赛事活动的有关要求</w:t>
      </w:r>
    </w:p>
    <w:bookmarkEnd w:id="0"/>
    <w:p w14:paraId="6BD89784">
      <w:pPr>
        <w:rPr>
          <w:rFonts w:hint="eastAsia" w:ascii="仿宋" w:hAnsi="仿宋" w:eastAsia="仿宋"/>
          <w:kern w:val="2"/>
          <w:sz w:val="32"/>
          <w:szCs w:val="32"/>
          <w:lang w:val="en-US" w:eastAsia="zh-CN"/>
        </w:rPr>
      </w:pPr>
    </w:p>
    <w:p w14:paraId="76C46BC1">
      <w:pPr>
        <w:ind w:firstLine="640" w:firstLineChars="200"/>
        <w:rPr>
          <w:rFonts w:hint="default" w:ascii="仿宋" w:hAnsi="仿宋" w:eastAsia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2025年是“十四五”规划的收官之年，也是第十五届全运会的举办年，全省各级老体组织既要积极做好2025年山东省老年体育赛事活动的参赛办赛任务，又要维护好全民健身活动的良好社会氛围，确保年度赛事活动圆满顺利进行。</w:t>
      </w:r>
    </w:p>
    <w:p w14:paraId="47D10A1E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统筹组织好各级各类老年赛事活动</w:t>
      </w:r>
    </w:p>
    <w:p w14:paraId="3BF07C28">
      <w:pPr>
        <w:ind w:firstLine="640" w:firstLineChars="200"/>
        <w:rPr>
          <w:rFonts w:hint="eastAsia" w:ascii="仿宋" w:hAnsi="仿宋" w:eastAsia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各承办单位要按照承办工作相关要求，</w:t>
      </w:r>
      <w:r>
        <w:rPr>
          <w:rFonts w:hint="eastAsia" w:ascii="仿宋" w:hAnsi="仿宋" w:eastAsia="仿宋"/>
          <w:kern w:val="2"/>
          <w:sz w:val="32"/>
          <w:szCs w:val="32"/>
        </w:rPr>
        <w:t>制定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符合实际、切实可行的</w:t>
      </w:r>
      <w:r>
        <w:rPr>
          <w:rFonts w:hint="eastAsia" w:ascii="仿宋" w:hAnsi="仿宋" w:eastAsia="仿宋"/>
          <w:kern w:val="2"/>
          <w:sz w:val="32"/>
          <w:szCs w:val="32"/>
        </w:rPr>
        <w:t>赛事组织实施方案及安全应急预案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，成立赛事活动专班，明确责任分工，确保赛事活动有序开展。本年度省级老年赛事活动统一纳入“好运山东”品牌体系，相关背景板、成绩册、秩序册及宣传品版式由主办单位统一提供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val="en-US" w:eastAsia="zh-CN"/>
        </w:rPr>
        <w:t>凡没有冠名的活动项目均冠名“中国体育彩票杯”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  <w:t>，同时鼓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励各地相关赛事活动参照执行。组织实施过程中要做好赛事与培训、赛事与乡村振兴、旅游康养、当地年度重要节庆活动等的结合文章，推动赛事</w:t>
      </w:r>
      <w:r>
        <w:rPr>
          <w:rFonts w:hint="eastAsia" w:ascii="仿宋" w:hAnsi="仿宋" w:eastAsia="仿宋"/>
          <w:kern w:val="2"/>
          <w:sz w:val="32"/>
          <w:szCs w:val="32"/>
        </w:rPr>
        <w:t>进景区、进街区、进商圈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kern w:val="2"/>
          <w:sz w:val="32"/>
          <w:szCs w:val="32"/>
        </w:rPr>
        <w:t>，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着力提升赛事带动经济社会发展能力。省老体协各项目专委会要按照相关工作规范，及时对赛事组织工作给予专业技术指导督导。各级老体组织要结合实际，深入组织开展各级各类富有地方特色、面向基层群众、方便参与体验的适老健身活动。</w:t>
      </w:r>
    </w:p>
    <w:p w14:paraId="6EFEF8A6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二、积极参加省级赛事活动</w:t>
      </w:r>
    </w:p>
    <w:p w14:paraId="6544F152">
      <w:pPr>
        <w:numPr>
          <w:ilvl w:val="0"/>
          <w:numId w:val="0"/>
        </w:numPr>
        <w:ind w:firstLine="640"/>
        <w:rPr>
          <w:rFonts w:hint="eastAsia" w:ascii="仿宋" w:hAnsi="仿宋" w:eastAsia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各市老体协要按照“重在基层、面向全体”的工作要求，本着有利于项目普及开展的原则，制定参加省级赛事活动计划，要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广泛宣传和组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 xml:space="preserve">织动员，扩大赛事活动参与覆盖面。对各市老体协参加年度赛事活动情况，将在年度工作会议上进行通报。 </w:t>
      </w:r>
    </w:p>
    <w:p w14:paraId="254A3536">
      <w:pPr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三、切实做好安全工作</w:t>
      </w:r>
    </w:p>
    <w:p w14:paraId="2DCEB641">
      <w:pPr>
        <w:ind w:firstLine="640" w:firstLineChars="200"/>
        <w:rPr>
          <w:rFonts w:hint="eastAsia" w:ascii="仿宋" w:hAnsi="仿宋" w:eastAsia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各单位要重点围绕医疗救护、食宿交通、赛风赛纪、舆情防控等安全风险易发高发点，制定相关安全工作方案预案，抓好演练和督查落实。要严格按照竞赛规程相关要求，做好参赛人员资格、保险、健康证明等的核查核验工作，严禁不符合条件人员参加比赛。</w:t>
      </w:r>
    </w:p>
    <w:p w14:paraId="4F26A101">
      <w:pPr>
        <w:ind w:firstLine="640" w:firstLineChars="200"/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  <w:t>为确保活动安全有序开展，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val="en-US" w:eastAsia="zh-CN"/>
        </w:rPr>
        <w:t>承办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  <w:t>健身气功活动，应严格按照《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val="en-US" w:eastAsia="zh-CN"/>
        </w:rPr>
        <w:t>健身气功管理办法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  <w:t>》及相关规定，提前向当地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val="en-US" w:eastAsia="zh-CN"/>
        </w:rPr>
        <w:t>体育</w:t>
      </w:r>
      <w:r>
        <w:rPr>
          <w:rFonts w:hint="eastAsia" w:ascii="仿宋" w:hAnsi="仿宋" w:eastAsia="仿宋"/>
          <w:color w:val="000000"/>
          <w:kern w:val="2"/>
          <w:sz w:val="32"/>
          <w:szCs w:val="32"/>
          <w:lang w:eastAsia="zh-CN"/>
        </w:rPr>
        <w:t>主管部门进行报备，以保障活动的合法合规性及参与者的安全与健康。</w:t>
      </w:r>
    </w:p>
    <w:p w14:paraId="17F742EC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eastAsia="zh-CN"/>
        </w:rPr>
        <w:t>四、规范经费使用管理</w:t>
      </w:r>
    </w:p>
    <w:p w14:paraId="0BABF082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各单位要积极筹措活动经费，节约、规范使用经费，将经费足额用于老年体育健身活动，切实提高赛事保障水平。承办省级老年体育赛</w:t>
      </w: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事活动的单位，</w:t>
      </w:r>
      <w:r>
        <w:rPr>
          <w:rFonts w:hint="eastAsia" w:ascii="仿宋" w:hAnsi="仿宋" w:eastAsia="仿宋"/>
          <w:kern w:val="2"/>
          <w:sz w:val="32"/>
          <w:szCs w:val="32"/>
          <w:lang w:eastAsia="zh-CN"/>
        </w:rPr>
        <w:t>要按照相关要求，及时、规范上报相关票据、赛事总结和音视频材料。</w:t>
      </w:r>
    </w:p>
    <w:p w14:paraId="5EE03A7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52F56"/>
    <w:rsid w:val="2705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2025-02-25T07:31:00Z</dcterms:created>
  <dc:creator> </dc:creator>
  <cp:lastModifiedBy> </cp:lastModifiedBy>
  <dcterms:modified xsi:type="dcterms:W3CDTF">2025-02-25T07:31:17Z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A60602219A414FB8BD5E73187131F8FA_11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